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C6" w:rsidRDefault="009808C6" w:rsidP="00855265">
      <w:pPr>
        <w:wordWrap w:val="0"/>
        <w:overflowPunct w:val="0"/>
        <w:autoSpaceDE w:val="0"/>
        <w:autoSpaceDN w:val="0"/>
        <w:rPr>
          <w:szCs w:val="24"/>
        </w:rPr>
      </w:pPr>
      <w:bookmarkStart w:id="0" w:name="_GoBack"/>
      <w:bookmarkEnd w:id="0"/>
      <w:r w:rsidRPr="009808C6">
        <w:rPr>
          <w:rFonts w:ascii="ＭＳ ゴシック" w:eastAsia="ＭＳ ゴシック" w:hAnsi="ＭＳ ゴシック" w:hint="eastAsia"/>
          <w:szCs w:val="24"/>
        </w:rPr>
        <w:t>第２号様式</w:t>
      </w:r>
      <w:r w:rsidRPr="009808C6">
        <w:rPr>
          <w:rFonts w:hint="eastAsia"/>
          <w:szCs w:val="24"/>
        </w:rPr>
        <w:t>（第５条関係）</w:t>
      </w:r>
    </w:p>
    <w:p w:rsidR="000C4450" w:rsidRPr="009808C6" w:rsidRDefault="000C4450" w:rsidP="009808C6">
      <w:pPr>
        <w:wordWrap w:val="0"/>
        <w:overflowPunct w:val="0"/>
        <w:autoSpaceDE w:val="0"/>
        <w:autoSpaceDN w:val="0"/>
        <w:ind w:left="248" w:hangingChars="100" w:hanging="248"/>
        <w:rPr>
          <w:rFonts w:hint="eastAsia"/>
          <w:szCs w:val="24"/>
        </w:rPr>
      </w:pPr>
    </w:p>
    <w:p w:rsidR="009808C6" w:rsidRDefault="009808C6" w:rsidP="000C4450">
      <w:pPr>
        <w:wordWrap w:val="0"/>
        <w:overflowPunct w:val="0"/>
        <w:autoSpaceDE w:val="0"/>
        <w:autoSpaceDN w:val="0"/>
        <w:jc w:val="center"/>
        <w:rPr>
          <w:szCs w:val="24"/>
        </w:rPr>
      </w:pPr>
      <w:r w:rsidRPr="009808C6">
        <w:rPr>
          <w:rFonts w:hint="eastAsia"/>
          <w:spacing w:val="420"/>
          <w:szCs w:val="24"/>
        </w:rPr>
        <w:t>承諾</w:t>
      </w:r>
      <w:r w:rsidRPr="009808C6">
        <w:rPr>
          <w:rFonts w:hint="eastAsia"/>
          <w:szCs w:val="24"/>
        </w:rPr>
        <w:t>書</w:t>
      </w:r>
    </w:p>
    <w:p w:rsidR="000C4450" w:rsidRPr="009808C6" w:rsidRDefault="000C4450" w:rsidP="000C4450">
      <w:pPr>
        <w:wordWrap w:val="0"/>
        <w:overflowPunct w:val="0"/>
        <w:autoSpaceDE w:val="0"/>
        <w:autoSpaceDN w:val="0"/>
        <w:rPr>
          <w:rFonts w:hint="eastAsia"/>
          <w:szCs w:val="24"/>
        </w:rPr>
      </w:pPr>
    </w:p>
    <w:p w:rsidR="009808C6" w:rsidRPr="009808C6" w:rsidRDefault="009808C6" w:rsidP="000C4450">
      <w:pPr>
        <w:overflowPunct w:val="0"/>
        <w:autoSpaceDE w:val="0"/>
        <w:autoSpaceDN w:val="0"/>
        <w:jc w:val="left"/>
        <w:rPr>
          <w:szCs w:val="24"/>
        </w:rPr>
      </w:pPr>
      <w:r w:rsidRPr="009808C6">
        <w:rPr>
          <w:rFonts w:hint="eastAsia"/>
          <w:szCs w:val="24"/>
        </w:rPr>
        <w:t xml:space="preserve">　別紙図面のとおり水路</w:t>
      </w:r>
      <w:r w:rsidR="008427AC">
        <w:rPr>
          <w:rFonts w:hint="eastAsia"/>
          <w:szCs w:val="24"/>
        </w:rPr>
        <w:t>等</w:t>
      </w:r>
      <w:r w:rsidR="00F46F86">
        <w:rPr>
          <w:rFonts w:hint="eastAsia"/>
          <w:szCs w:val="24"/>
        </w:rPr>
        <w:t>の</w:t>
      </w:r>
      <w:r w:rsidRPr="009808C6">
        <w:rPr>
          <w:rFonts w:hint="eastAsia"/>
          <w:szCs w:val="24"/>
        </w:rPr>
        <w:t>整備工事が施行されることを承諾します。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1134"/>
        <w:gridCol w:w="2693"/>
      </w:tblGrid>
      <w:tr w:rsidR="009808C6" w:rsidRPr="009808C6" w:rsidTr="00855265">
        <w:trPr>
          <w:cantSplit/>
          <w:trHeight w:val="447"/>
        </w:trPr>
        <w:tc>
          <w:tcPr>
            <w:tcW w:w="2410" w:type="dxa"/>
            <w:vMerge w:val="restart"/>
            <w:vAlign w:val="center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>土地の所在</w:t>
            </w:r>
          </w:p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>及び地番</w:t>
            </w:r>
          </w:p>
        </w:tc>
        <w:tc>
          <w:tcPr>
            <w:tcW w:w="2977" w:type="dxa"/>
            <w:vAlign w:val="center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>住所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>承諾印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9808C6">
              <w:rPr>
                <w:rFonts w:hint="eastAsia"/>
                <w:spacing w:val="420"/>
                <w:szCs w:val="24"/>
              </w:rPr>
              <w:t>承</w:t>
            </w:r>
            <w:r w:rsidRPr="009808C6">
              <w:rPr>
                <w:rFonts w:hint="eastAsia"/>
                <w:szCs w:val="24"/>
              </w:rPr>
              <w:t>諾</w:t>
            </w:r>
          </w:p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>年月日</w:t>
            </w:r>
          </w:p>
        </w:tc>
      </w:tr>
      <w:tr w:rsidR="009808C6" w:rsidRPr="009808C6" w:rsidTr="00855265">
        <w:trPr>
          <w:cantSplit/>
          <w:trHeight w:val="446"/>
        </w:trPr>
        <w:tc>
          <w:tcPr>
            <w:tcW w:w="2410" w:type="dxa"/>
            <w:vMerge/>
            <w:vAlign w:val="center"/>
            <w:hideMark/>
          </w:tcPr>
          <w:p w:rsidR="009808C6" w:rsidRPr="009808C6" w:rsidRDefault="009808C6" w:rsidP="009808C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977" w:type="dxa"/>
            <w:vAlign w:val="center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>氏名</w:t>
            </w:r>
          </w:p>
        </w:tc>
        <w:tc>
          <w:tcPr>
            <w:tcW w:w="1134" w:type="dxa"/>
            <w:vMerge/>
            <w:vAlign w:val="center"/>
            <w:hideMark/>
          </w:tcPr>
          <w:p w:rsidR="009808C6" w:rsidRPr="009808C6" w:rsidRDefault="009808C6" w:rsidP="009808C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9808C6" w:rsidRPr="009808C6" w:rsidRDefault="009808C6" w:rsidP="009808C6">
            <w:pPr>
              <w:widowControl/>
              <w:jc w:val="left"/>
              <w:rPr>
                <w:szCs w:val="24"/>
              </w:rPr>
            </w:pPr>
          </w:p>
        </w:tc>
      </w:tr>
      <w:tr w:rsidR="009808C6" w:rsidRPr="009808C6" w:rsidTr="00855265">
        <w:trPr>
          <w:cantSplit/>
          <w:trHeight w:val="451"/>
        </w:trPr>
        <w:tc>
          <w:tcPr>
            <w:tcW w:w="2410" w:type="dxa"/>
            <w:vMerge w:val="restart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977" w:type="dxa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693" w:type="dxa"/>
            <w:vMerge w:val="restart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</w:tr>
      <w:tr w:rsidR="009808C6" w:rsidRPr="009808C6" w:rsidTr="00855265">
        <w:trPr>
          <w:cantSplit/>
          <w:trHeight w:val="455"/>
        </w:trPr>
        <w:tc>
          <w:tcPr>
            <w:tcW w:w="2410" w:type="dxa"/>
            <w:vMerge/>
            <w:vAlign w:val="center"/>
            <w:hideMark/>
          </w:tcPr>
          <w:p w:rsidR="009808C6" w:rsidRPr="009808C6" w:rsidRDefault="009808C6" w:rsidP="009808C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977" w:type="dxa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  <w:hideMark/>
          </w:tcPr>
          <w:p w:rsidR="009808C6" w:rsidRPr="009808C6" w:rsidRDefault="009808C6" w:rsidP="009808C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9808C6" w:rsidRPr="009808C6" w:rsidRDefault="009808C6" w:rsidP="009808C6">
            <w:pPr>
              <w:widowControl/>
              <w:jc w:val="left"/>
              <w:rPr>
                <w:szCs w:val="24"/>
              </w:rPr>
            </w:pPr>
          </w:p>
        </w:tc>
      </w:tr>
      <w:tr w:rsidR="009808C6" w:rsidRPr="009808C6" w:rsidTr="00855265">
        <w:trPr>
          <w:cantSplit/>
          <w:trHeight w:val="455"/>
        </w:trPr>
        <w:tc>
          <w:tcPr>
            <w:tcW w:w="2410" w:type="dxa"/>
            <w:vMerge w:val="restart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977" w:type="dxa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693" w:type="dxa"/>
            <w:vMerge w:val="restart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</w:tr>
      <w:tr w:rsidR="009808C6" w:rsidRPr="009808C6" w:rsidTr="00855265">
        <w:trPr>
          <w:cantSplit/>
          <w:trHeight w:val="455"/>
        </w:trPr>
        <w:tc>
          <w:tcPr>
            <w:tcW w:w="2410" w:type="dxa"/>
            <w:vMerge/>
            <w:vAlign w:val="center"/>
            <w:hideMark/>
          </w:tcPr>
          <w:p w:rsidR="009808C6" w:rsidRPr="009808C6" w:rsidRDefault="009808C6" w:rsidP="009808C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977" w:type="dxa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  <w:hideMark/>
          </w:tcPr>
          <w:p w:rsidR="009808C6" w:rsidRPr="009808C6" w:rsidRDefault="009808C6" w:rsidP="009808C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9808C6" w:rsidRPr="009808C6" w:rsidRDefault="009808C6" w:rsidP="009808C6">
            <w:pPr>
              <w:widowControl/>
              <w:jc w:val="left"/>
              <w:rPr>
                <w:szCs w:val="24"/>
              </w:rPr>
            </w:pPr>
          </w:p>
        </w:tc>
      </w:tr>
      <w:tr w:rsidR="009808C6" w:rsidRPr="009808C6" w:rsidTr="00855265">
        <w:trPr>
          <w:cantSplit/>
          <w:trHeight w:val="447"/>
        </w:trPr>
        <w:tc>
          <w:tcPr>
            <w:tcW w:w="2410" w:type="dxa"/>
            <w:vMerge w:val="restart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977" w:type="dxa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693" w:type="dxa"/>
            <w:vMerge w:val="restart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</w:tr>
      <w:tr w:rsidR="009808C6" w:rsidRPr="009808C6" w:rsidTr="00855265">
        <w:trPr>
          <w:cantSplit/>
          <w:trHeight w:val="455"/>
        </w:trPr>
        <w:tc>
          <w:tcPr>
            <w:tcW w:w="2410" w:type="dxa"/>
            <w:vMerge/>
            <w:vAlign w:val="center"/>
            <w:hideMark/>
          </w:tcPr>
          <w:p w:rsidR="009808C6" w:rsidRPr="009808C6" w:rsidRDefault="009808C6" w:rsidP="009808C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977" w:type="dxa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  <w:hideMark/>
          </w:tcPr>
          <w:p w:rsidR="009808C6" w:rsidRPr="009808C6" w:rsidRDefault="009808C6" w:rsidP="009808C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9808C6" w:rsidRPr="009808C6" w:rsidRDefault="009808C6" w:rsidP="009808C6">
            <w:pPr>
              <w:widowControl/>
              <w:jc w:val="left"/>
              <w:rPr>
                <w:szCs w:val="24"/>
              </w:rPr>
            </w:pPr>
          </w:p>
        </w:tc>
      </w:tr>
      <w:tr w:rsidR="009808C6" w:rsidRPr="009808C6" w:rsidTr="00855265">
        <w:trPr>
          <w:cantSplit/>
          <w:trHeight w:val="451"/>
        </w:trPr>
        <w:tc>
          <w:tcPr>
            <w:tcW w:w="2410" w:type="dxa"/>
            <w:vMerge w:val="restart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977" w:type="dxa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693" w:type="dxa"/>
            <w:vMerge w:val="restart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</w:tr>
      <w:tr w:rsidR="009808C6" w:rsidRPr="009808C6" w:rsidTr="00855265">
        <w:trPr>
          <w:cantSplit/>
          <w:trHeight w:val="455"/>
        </w:trPr>
        <w:tc>
          <w:tcPr>
            <w:tcW w:w="2410" w:type="dxa"/>
            <w:vMerge/>
            <w:vAlign w:val="center"/>
            <w:hideMark/>
          </w:tcPr>
          <w:p w:rsidR="009808C6" w:rsidRPr="009808C6" w:rsidRDefault="009808C6" w:rsidP="009808C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977" w:type="dxa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  <w:hideMark/>
          </w:tcPr>
          <w:p w:rsidR="009808C6" w:rsidRPr="009808C6" w:rsidRDefault="009808C6" w:rsidP="009808C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9808C6" w:rsidRPr="009808C6" w:rsidRDefault="009808C6" w:rsidP="009808C6">
            <w:pPr>
              <w:widowControl/>
              <w:jc w:val="left"/>
              <w:rPr>
                <w:szCs w:val="24"/>
              </w:rPr>
            </w:pPr>
          </w:p>
        </w:tc>
      </w:tr>
      <w:tr w:rsidR="009808C6" w:rsidRPr="009808C6" w:rsidTr="00855265">
        <w:trPr>
          <w:cantSplit/>
          <w:trHeight w:val="455"/>
        </w:trPr>
        <w:tc>
          <w:tcPr>
            <w:tcW w:w="2410" w:type="dxa"/>
            <w:vMerge w:val="restart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977" w:type="dxa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693" w:type="dxa"/>
            <w:vMerge w:val="restart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</w:tr>
      <w:tr w:rsidR="009808C6" w:rsidRPr="009808C6" w:rsidTr="00855265">
        <w:trPr>
          <w:cantSplit/>
          <w:trHeight w:val="417"/>
        </w:trPr>
        <w:tc>
          <w:tcPr>
            <w:tcW w:w="2410" w:type="dxa"/>
            <w:vMerge/>
            <w:vAlign w:val="center"/>
            <w:hideMark/>
          </w:tcPr>
          <w:p w:rsidR="009808C6" w:rsidRPr="009808C6" w:rsidRDefault="009808C6" w:rsidP="009808C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977" w:type="dxa"/>
            <w:hideMark/>
          </w:tcPr>
          <w:p w:rsidR="009808C6" w:rsidRPr="009808C6" w:rsidRDefault="009808C6" w:rsidP="009808C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9808C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  <w:hideMark/>
          </w:tcPr>
          <w:p w:rsidR="009808C6" w:rsidRPr="009808C6" w:rsidRDefault="009808C6" w:rsidP="009808C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9808C6" w:rsidRPr="009808C6" w:rsidRDefault="009808C6" w:rsidP="009808C6">
            <w:pPr>
              <w:widowControl/>
              <w:jc w:val="left"/>
              <w:rPr>
                <w:szCs w:val="24"/>
              </w:rPr>
            </w:pPr>
          </w:p>
        </w:tc>
      </w:tr>
    </w:tbl>
    <w:p w:rsidR="00C04D09" w:rsidRPr="009808C6" w:rsidRDefault="00C04D09" w:rsidP="005B1F4E">
      <w:pPr>
        <w:wordWrap w:val="0"/>
        <w:overflowPunct w:val="0"/>
        <w:autoSpaceDE w:val="0"/>
        <w:autoSpaceDN w:val="0"/>
        <w:rPr>
          <w:rFonts w:hAnsi="ＭＳ 明朝" w:hint="eastAsia"/>
          <w:szCs w:val="36"/>
        </w:rPr>
      </w:pPr>
    </w:p>
    <w:sectPr w:rsidR="00C04D09" w:rsidRPr="009808C6" w:rsidSect="00914752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CF8" w:rsidRDefault="00D41CF8">
      <w:r>
        <w:separator/>
      </w:r>
    </w:p>
  </w:endnote>
  <w:endnote w:type="continuationSeparator" w:id="0">
    <w:p w:rsidR="00D41CF8" w:rsidRDefault="00D4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CF8" w:rsidRDefault="00D41CF8">
      <w:r>
        <w:separator/>
      </w:r>
    </w:p>
  </w:footnote>
  <w:footnote w:type="continuationSeparator" w:id="0">
    <w:p w:rsidR="00D41CF8" w:rsidRDefault="00D4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4"/>
  <w:drawingGridVerticalSpacing w:val="250"/>
  <w:displayHorizontalDrawingGridEvery w:val="0"/>
  <w:displayVertic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882"/>
    <w:rsid w:val="0000373E"/>
    <w:rsid w:val="00003838"/>
    <w:rsid w:val="00007C20"/>
    <w:rsid w:val="000110DA"/>
    <w:rsid w:val="00015278"/>
    <w:rsid w:val="00026FF9"/>
    <w:rsid w:val="000344F4"/>
    <w:rsid w:val="000717E0"/>
    <w:rsid w:val="0007239D"/>
    <w:rsid w:val="00073590"/>
    <w:rsid w:val="00085B05"/>
    <w:rsid w:val="000A05F7"/>
    <w:rsid w:val="000A2B49"/>
    <w:rsid w:val="000B6945"/>
    <w:rsid w:val="000C4450"/>
    <w:rsid w:val="000C4EB5"/>
    <w:rsid w:val="000E0BA2"/>
    <w:rsid w:val="000F2F50"/>
    <w:rsid w:val="000F6DE2"/>
    <w:rsid w:val="0010284D"/>
    <w:rsid w:val="00142FDA"/>
    <w:rsid w:val="0014382B"/>
    <w:rsid w:val="0016371F"/>
    <w:rsid w:val="00173A7B"/>
    <w:rsid w:val="00177973"/>
    <w:rsid w:val="00181C30"/>
    <w:rsid w:val="0019315F"/>
    <w:rsid w:val="001A02C2"/>
    <w:rsid w:val="001B2023"/>
    <w:rsid w:val="001C73C9"/>
    <w:rsid w:val="001F17CF"/>
    <w:rsid w:val="001F1B98"/>
    <w:rsid w:val="001F1C1F"/>
    <w:rsid w:val="001F350A"/>
    <w:rsid w:val="002242B7"/>
    <w:rsid w:val="00232ABE"/>
    <w:rsid w:val="0027184F"/>
    <w:rsid w:val="00274BF3"/>
    <w:rsid w:val="002844D7"/>
    <w:rsid w:val="00291C84"/>
    <w:rsid w:val="002A17A6"/>
    <w:rsid w:val="002D455E"/>
    <w:rsid w:val="002E08C6"/>
    <w:rsid w:val="002E0ADB"/>
    <w:rsid w:val="002E5EA1"/>
    <w:rsid w:val="002F46C0"/>
    <w:rsid w:val="002F66FD"/>
    <w:rsid w:val="003158AE"/>
    <w:rsid w:val="00317DF6"/>
    <w:rsid w:val="00325187"/>
    <w:rsid w:val="00340BC7"/>
    <w:rsid w:val="00342F6C"/>
    <w:rsid w:val="00364329"/>
    <w:rsid w:val="00372A87"/>
    <w:rsid w:val="00373ACB"/>
    <w:rsid w:val="00396070"/>
    <w:rsid w:val="003B35F6"/>
    <w:rsid w:val="003B5147"/>
    <w:rsid w:val="003C65E9"/>
    <w:rsid w:val="003D21B0"/>
    <w:rsid w:val="003D33F2"/>
    <w:rsid w:val="003E114D"/>
    <w:rsid w:val="003E68FB"/>
    <w:rsid w:val="003E6A84"/>
    <w:rsid w:val="00411474"/>
    <w:rsid w:val="00412DE1"/>
    <w:rsid w:val="004152A8"/>
    <w:rsid w:val="0042242D"/>
    <w:rsid w:val="004418B6"/>
    <w:rsid w:val="0045467B"/>
    <w:rsid w:val="004570F9"/>
    <w:rsid w:val="004637C8"/>
    <w:rsid w:val="00470EF0"/>
    <w:rsid w:val="004744A3"/>
    <w:rsid w:val="004767F8"/>
    <w:rsid w:val="00492F72"/>
    <w:rsid w:val="004A2A39"/>
    <w:rsid w:val="004B46BE"/>
    <w:rsid w:val="004C76FA"/>
    <w:rsid w:val="004F69D9"/>
    <w:rsid w:val="00514BA7"/>
    <w:rsid w:val="00522D8B"/>
    <w:rsid w:val="00523C25"/>
    <w:rsid w:val="005242C7"/>
    <w:rsid w:val="0052453D"/>
    <w:rsid w:val="005327FF"/>
    <w:rsid w:val="00542B85"/>
    <w:rsid w:val="00552D89"/>
    <w:rsid w:val="00554300"/>
    <w:rsid w:val="005567C8"/>
    <w:rsid w:val="005B1F4E"/>
    <w:rsid w:val="005B2810"/>
    <w:rsid w:val="005B2D12"/>
    <w:rsid w:val="005B46E4"/>
    <w:rsid w:val="005C2FA5"/>
    <w:rsid w:val="005C429C"/>
    <w:rsid w:val="005D019A"/>
    <w:rsid w:val="005E2527"/>
    <w:rsid w:val="005E2FFA"/>
    <w:rsid w:val="00613CC9"/>
    <w:rsid w:val="00633134"/>
    <w:rsid w:val="0064402C"/>
    <w:rsid w:val="006444A6"/>
    <w:rsid w:val="00661D5C"/>
    <w:rsid w:val="00665899"/>
    <w:rsid w:val="00673B32"/>
    <w:rsid w:val="00674054"/>
    <w:rsid w:val="00676081"/>
    <w:rsid w:val="006802CC"/>
    <w:rsid w:val="00687654"/>
    <w:rsid w:val="006952F4"/>
    <w:rsid w:val="006A5301"/>
    <w:rsid w:val="006C0422"/>
    <w:rsid w:val="006D1C29"/>
    <w:rsid w:val="006D618D"/>
    <w:rsid w:val="006E288E"/>
    <w:rsid w:val="006E2A7A"/>
    <w:rsid w:val="006F716C"/>
    <w:rsid w:val="007067E9"/>
    <w:rsid w:val="0073004F"/>
    <w:rsid w:val="0076525E"/>
    <w:rsid w:val="00786651"/>
    <w:rsid w:val="007A1EFA"/>
    <w:rsid w:val="007E4BE6"/>
    <w:rsid w:val="007F3AB1"/>
    <w:rsid w:val="00800202"/>
    <w:rsid w:val="00811007"/>
    <w:rsid w:val="00811519"/>
    <w:rsid w:val="008244B6"/>
    <w:rsid w:val="008427AC"/>
    <w:rsid w:val="00843C9E"/>
    <w:rsid w:val="00851F6B"/>
    <w:rsid w:val="00855265"/>
    <w:rsid w:val="00855812"/>
    <w:rsid w:val="00855B23"/>
    <w:rsid w:val="00864D33"/>
    <w:rsid w:val="00865802"/>
    <w:rsid w:val="008723DB"/>
    <w:rsid w:val="0087372E"/>
    <w:rsid w:val="008740D5"/>
    <w:rsid w:val="00884818"/>
    <w:rsid w:val="00887AB6"/>
    <w:rsid w:val="008976B2"/>
    <w:rsid w:val="008A0849"/>
    <w:rsid w:val="008A44F2"/>
    <w:rsid w:val="008A7A2C"/>
    <w:rsid w:val="008B06A1"/>
    <w:rsid w:val="008B7DB7"/>
    <w:rsid w:val="008C6433"/>
    <w:rsid w:val="008D0BF8"/>
    <w:rsid w:val="008D1700"/>
    <w:rsid w:val="008E49F4"/>
    <w:rsid w:val="008E4DEF"/>
    <w:rsid w:val="008E679C"/>
    <w:rsid w:val="008E69FB"/>
    <w:rsid w:val="008F1B8A"/>
    <w:rsid w:val="009011CC"/>
    <w:rsid w:val="00907AC4"/>
    <w:rsid w:val="00914752"/>
    <w:rsid w:val="00925430"/>
    <w:rsid w:val="00927461"/>
    <w:rsid w:val="00942300"/>
    <w:rsid w:val="00950851"/>
    <w:rsid w:val="00952839"/>
    <w:rsid w:val="009808C6"/>
    <w:rsid w:val="00992D1A"/>
    <w:rsid w:val="00997864"/>
    <w:rsid w:val="009B4C23"/>
    <w:rsid w:val="009D2130"/>
    <w:rsid w:val="009D2432"/>
    <w:rsid w:val="009E40EB"/>
    <w:rsid w:val="009F1ED6"/>
    <w:rsid w:val="00A01B9E"/>
    <w:rsid w:val="00A06ED5"/>
    <w:rsid w:val="00A1181E"/>
    <w:rsid w:val="00A14590"/>
    <w:rsid w:val="00A40503"/>
    <w:rsid w:val="00A43565"/>
    <w:rsid w:val="00A47E45"/>
    <w:rsid w:val="00A5482E"/>
    <w:rsid w:val="00A76C19"/>
    <w:rsid w:val="00A81F0E"/>
    <w:rsid w:val="00AA26F6"/>
    <w:rsid w:val="00AA5083"/>
    <w:rsid w:val="00AB5BBA"/>
    <w:rsid w:val="00AE3656"/>
    <w:rsid w:val="00AF1061"/>
    <w:rsid w:val="00AF4131"/>
    <w:rsid w:val="00B122E9"/>
    <w:rsid w:val="00B1341D"/>
    <w:rsid w:val="00B3534A"/>
    <w:rsid w:val="00B36ABE"/>
    <w:rsid w:val="00B53C68"/>
    <w:rsid w:val="00B7538B"/>
    <w:rsid w:val="00B8103C"/>
    <w:rsid w:val="00B83274"/>
    <w:rsid w:val="00B87B75"/>
    <w:rsid w:val="00B9299C"/>
    <w:rsid w:val="00B94175"/>
    <w:rsid w:val="00B95CB1"/>
    <w:rsid w:val="00B971DC"/>
    <w:rsid w:val="00BB23BF"/>
    <w:rsid w:val="00BB6B46"/>
    <w:rsid w:val="00BC0441"/>
    <w:rsid w:val="00C028C9"/>
    <w:rsid w:val="00C04D09"/>
    <w:rsid w:val="00C14590"/>
    <w:rsid w:val="00C17224"/>
    <w:rsid w:val="00C270F5"/>
    <w:rsid w:val="00C3050A"/>
    <w:rsid w:val="00C32747"/>
    <w:rsid w:val="00C47230"/>
    <w:rsid w:val="00C50B20"/>
    <w:rsid w:val="00C558F5"/>
    <w:rsid w:val="00C70F71"/>
    <w:rsid w:val="00C74CBB"/>
    <w:rsid w:val="00C75982"/>
    <w:rsid w:val="00C923F1"/>
    <w:rsid w:val="00CA34A2"/>
    <w:rsid w:val="00CB3535"/>
    <w:rsid w:val="00CB763A"/>
    <w:rsid w:val="00CC1D1C"/>
    <w:rsid w:val="00CC39B7"/>
    <w:rsid w:val="00CD2EBD"/>
    <w:rsid w:val="00CF5AF7"/>
    <w:rsid w:val="00CF6BCC"/>
    <w:rsid w:val="00D075B3"/>
    <w:rsid w:val="00D17377"/>
    <w:rsid w:val="00D27037"/>
    <w:rsid w:val="00D3197F"/>
    <w:rsid w:val="00D41CF8"/>
    <w:rsid w:val="00D52200"/>
    <w:rsid w:val="00D7558C"/>
    <w:rsid w:val="00D82B5F"/>
    <w:rsid w:val="00D831AE"/>
    <w:rsid w:val="00D84FA9"/>
    <w:rsid w:val="00DB128A"/>
    <w:rsid w:val="00DB25B0"/>
    <w:rsid w:val="00DD56F0"/>
    <w:rsid w:val="00DD670A"/>
    <w:rsid w:val="00DD7882"/>
    <w:rsid w:val="00DE5793"/>
    <w:rsid w:val="00DE7B68"/>
    <w:rsid w:val="00DF6847"/>
    <w:rsid w:val="00E337E5"/>
    <w:rsid w:val="00E36ECF"/>
    <w:rsid w:val="00E372DF"/>
    <w:rsid w:val="00E41B99"/>
    <w:rsid w:val="00E469C4"/>
    <w:rsid w:val="00E56FEF"/>
    <w:rsid w:val="00E634DF"/>
    <w:rsid w:val="00E637AA"/>
    <w:rsid w:val="00E80EB9"/>
    <w:rsid w:val="00E86536"/>
    <w:rsid w:val="00EA7F15"/>
    <w:rsid w:val="00EB4128"/>
    <w:rsid w:val="00EE3BC5"/>
    <w:rsid w:val="00F02F5B"/>
    <w:rsid w:val="00F05124"/>
    <w:rsid w:val="00F13899"/>
    <w:rsid w:val="00F166C8"/>
    <w:rsid w:val="00F2433B"/>
    <w:rsid w:val="00F46F86"/>
    <w:rsid w:val="00F551F4"/>
    <w:rsid w:val="00F5580C"/>
    <w:rsid w:val="00F7098E"/>
    <w:rsid w:val="00F84D8D"/>
    <w:rsid w:val="00FB0981"/>
    <w:rsid w:val="00FB5755"/>
    <w:rsid w:val="00FB7AC4"/>
    <w:rsid w:val="00FD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661848-2930-4712-B957-4367F03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0EB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A26F6"/>
    <w:pPr>
      <w:jc w:val="center"/>
    </w:pPr>
    <w:rPr>
      <w:rFonts w:hAnsi="ＭＳ 明朝"/>
      <w:szCs w:val="24"/>
    </w:rPr>
  </w:style>
  <w:style w:type="paragraph" w:styleId="a6">
    <w:name w:val="Closing"/>
    <w:basedOn w:val="a"/>
    <w:rsid w:val="00AA26F6"/>
    <w:pPr>
      <w:jc w:val="right"/>
    </w:pPr>
    <w:rPr>
      <w:rFonts w:hAnsi="ＭＳ 明朝"/>
      <w:szCs w:val="24"/>
    </w:rPr>
  </w:style>
  <w:style w:type="paragraph" w:styleId="a7">
    <w:name w:val="Balloon Text"/>
    <w:basedOn w:val="a"/>
    <w:semiHidden/>
    <w:rsid w:val="00D82B5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63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32518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唐津市条例第１号</vt:lpstr>
      <vt:lpstr>唐津市条例第１号</vt:lpstr>
    </vt:vector>
  </TitlesOfParts>
  <Company>唐津市役所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唐津市条例第１号</dc:title>
  <dc:subject/>
  <dc:creator>情報管理課</dc:creator>
  <cp:keywords/>
  <cp:lastModifiedBy>唐津市</cp:lastModifiedBy>
  <cp:revision>2</cp:revision>
  <cp:lastPrinted>2024-02-05T02:29:00Z</cp:lastPrinted>
  <dcterms:created xsi:type="dcterms:W3CDTF">2025-06-30T05:19:00Z</dcterms:created>
  <dcterms:modified xsi:type="dcterms:W3CDTF">2025-06-30T05:19:00Z</dcterms:modified>
</cp:coreProperties>
</file>